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New Employee &amp; Benefit Checklist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Employee: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Start date: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Manager: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Department: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following information applies to all new full-time University and Academic Professionals (UAP) employed at VCU. Please review the checklist with your manager within your first week of work.</w:t>
      </w:r>
    </w:p>
    <w:tbl>
      <w:tblPr>
        <w:tblStyle w:val="Table1"/>
        <w:tblW w:w="10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4335"/>
        <w:gridCol w:w="2850"/>
        <w:gridCol w:w="1335"/>
        <w:tblGridChange w:id="0">
          <w:tblGrid>
            <w:gridCol w:w="1800"/>
            <w:gridCol w:w="4335"/>
            <w:gridCol w:w="2850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When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Where to find it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Check ✅ when completed</w:t>
                </w:r>
              </w:sdtContent>
            </w:sdt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Before your first day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 Section 1 of the I-9 Form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 for email invitation from HireRight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Download the “VCU Mobile” app to your smartphone.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Go to your app store and download the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VCU Mobile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to your device.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3.828125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first day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 new hire forms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(personal data form, state and federal tax forms, direct deposit authorization, selective service, child support disclosure, account summary statement from VRS, if you are a state agency transfer or a VRS participant, and Form DD-214, Form NGB-23, or Form NGB-22 to request inclusion of military service to your university leave accrual, if applicable, etc.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firstLine="0"/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Bring I-9 documents on your first day of work. (Documents must be original or certified copies.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Photocopies cannot be accepted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.) Here is a list of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Form I-9 Acceptable Documents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Obtain your VCU ID card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color w:val="cc0000"/>
                <w:highlight w:val="whit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Get Your VCUCard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Register for parking (if desired)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firstLine="0"/>
              <w:rPr>
                <w:rFonts w:ascii="Arial" w:cs="Arial" w:eastAsia="Arial" w:hAnsi="Arial"/>
                <w:color w:val="cc0000"/>
                <w:highlight w:val="whit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Faculty &amp; Staff Parking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Create eID for VCU email account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firstLine="0"/>
              <w:rPr>
                <w:rFonts w:ascii="Arial" w:cs="Arial" w:eastAsia="Arial" w:hAnsi="Arial"/>
                <w:color w:val="cc0000"/>
                <w:highlight w:val="whit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VCU eID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first week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Confirm you are scheduled for New Employee Orientations. Plan to attend.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New Employee Orientations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your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School and Unit HR Contact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if you have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78515625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your benefits and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 associated deadlines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 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All Benefits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webpage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required policies and training: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hd w:fill="efefef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efefef" w:val="clear"/>
                <w:rtl w:val="0"/>
              </w:rPr>
              <w:t xml:space="preserve">Within 45 days, training MUST be completed, or your employment is at risk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Required Employee Training &amp; Policy Review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cc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Access VCU RealTime to record your time, if you are a non-exempt employee.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employees must learn how to submit leave requests to your manager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RealTime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 up for email and text message alerts from VCU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VCU Alert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.892578125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Equity &amp; Access Services regarding a need for accommodation, if necessary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Equity and Access Services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right" w:leader="none" w:pos="9792"/>
        </w:tabs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4350"/>
        <w:gridCol w:w="2835"/>
        <w:gridCol w:w="1335"/>
        <w:tblGridChange w:id="0">
          <w:tblGrid>
            <w:gridCol w:w="1800"/>
            <w:gridCol w:w="4350"/>
            <w:gridCol w:w="283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hd w:fill="fff2c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ff2cc" w:val="clear"/>
                <w:rtl w:val="0"/>
              </w:rPr>
              <w:t xml:space="preserve">Your first 30 days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 University Orientation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firstLine="0"/>
              <w:rPr>
                <w:rFonts w:ascii="Arial" w:cs="Arial" w:eastAsia="Arial" w:hAnsi="Arial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University Orientation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Enroll in or waive health coverage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by your 30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calendar day of employment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Enroll in Benefits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Enroll in flexible spending (if desired)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by your 30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calendar day of employment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Enroll in Benefits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and evaluate your retirement savings options 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Retirement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Apply for guaranteed issue VRS optional group life insurance, if desired, by your 31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calendar day of employment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Life Insurance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Work with your manager to establish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performance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goals that align to your VCU position and </w:t>
            </w:r>
            <w:hyperlink r:id="rId24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VCU's strategic priorities</w:t>
              </w:r>
            </w:hyperlink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Review Talent@VCU’s user guides and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expectations during your probationary period in VCU’s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0" w:firstLine="0"/>
              <w:rPr>
                <w:rFonts w:ascii="Arial" w:cs="Arial" w:eastAsia="Arial" w:hAnsi="Arial"/>
                <w:color w:val="0000ff"/>
                <w:highlight w:val="white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Performance Management Guide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ff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At VCU, safety is a partnership and a shared responsibility that requires active participation across all departments and positions. Review workplace safety checklists with your manager.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firstLine="0"/>
              <w:rPr>
                <w:rFonts w:ascii="Arial" w:cs="Arial" w:eastAsia="Arial" w:hAnsi="Arial"/>
                <w:color w:val="cc0000"/>
                <w:highlight w:val="white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Workplace Safety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Learn more about VCU’s tuition benefit for employees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firstLine="0"/>
              <w:rPr>
                <w:rFonts w:ascii="Arial" w:cs="Arial" w:eastAsia="Arial" w:hAnsi="Arial"/>
                <w:color w:val="cc0000"/>
                <w:highlight w:val="white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Tuition Benefits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Learn more about VCU work life resources, wellness resources and discounts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90" w:firstLine="0"/>
              <w:rPr>
                <w:rFonts w:ascii="Arial" w:cs="Arial" w:eastAsia="Arial" w:hAnsi="Arial"/>
                <w:color w:val="cc0000"/>
                <w:highlight w:val="white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cc0000"/>
                  <w:highlight w:val="white"/>
                  <w:u w:val="single"/>
                  <w:rtl w:val="0"/>
                </w:rPr>
                <w:t xml:space="preserve">WorkLife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hd w:fill="fff2c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ff2cc" w:val="clear"/>
                <w:rtl w:val="0"/>
              </w:rPr>
              <w:t xml:space="preserve">By your 45th day of employment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hd w:fill="f3f3f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f3f3f3" w:val="clear"/>
                <w:rtl w:val="0"/>
              </w:rPr>
              <w:t xml:space="preserve">It is critical that you complete required training by your 45th day of employment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90" w:firstLine="0"/>
              <w:rPr>
                <w:rFonts w:ascii="Arial" w:cs="Arial" w:eastAsia="Arial" w:hAnsi="Arial"/>
                <w:color w:val="cc0000"/>
                <w:shd w:fill="f3f3f3" w:val="clear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shd w:fill="f3f3f3" w:val="clear"/>
                  <w:rtl w:val="0"/>
                </w:rPr>
                <w:t xml:space="preserve">Required training within 45 days of your hire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first 60 days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are eligible for ORP, make your election between VRS retirement plan and ORP retirement plan by your 60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day of employment or default to VRS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90" w:firstLine="0"/>
              <w:rPr>
                <w:rFonts w:ascii="Arial" w:cs="Arial" w:eastAsia="Arial" w:hAnsi="Arial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Optional Retirement Plan (ORP)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 will be auto-enrolled in VCU 403(b)/TDA program for $20 savings per paycheck unless you opt-out or make a voluntary contribution election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Tax-deferred Annuity and Roth 403b Program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Begin contributing to VCU 403(b)/TDA program and/or VRS 457/DCP retirement savings program to save for retirement outside your main retirement plan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firstLine="0"/>
              <w:rPr>
                <w:rFonts w:ascii="Arial" w:cs="Arial" w:eastAsia="Arial" w:hAnsi="Arial"/>
                <w:color w:val="1155cc"/>
                <w:u w:val="single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Tax-deferred Annuity and Roth 403b Program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with your manager to create a Career Development Plan in Talent@VCU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Career Development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cc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first 90 days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Pedestrian Safety Training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ind w:left="0" w:firstLine="0"/>
              <w:rPr>
                <w:rFonts w:ascii="Arial" w:cs="Arial" w:eastAsia="Arial" w:hAnsi="Arial"/>
                <w:color w:val="cc0000"/>
                <w:u w:val="singl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Get There Safely: Pedestrian Safety on the VCU Campus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4365"/>
        <w:gridCol w:w="2835"/>
        <w:gridCol w:w="1320"/>
        <w:tblGridChange w:id="0">
          <w:tblGrid>
            <w:gridCol w:w="1800"/>
            <w:gridCol w:w="4365"/>
            <w:gridCol w:w="2835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Anytime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Fill out life insurance beneficiary form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Naming a Beneficiary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your main retirement plan is the VRS Hybrid Plan, begin or change voluntary contributions to the plan on a quarterly basis.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bookmarkStart w:colFirst="0" w:colLast="0" w:name="_heading=h.30j0zll" w:id="1"/>
            <w:bookmarkEnd w:id="1"/>
            <w:hyperlink r:id="rId37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Hybrid Retirement Plan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cc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Change or stop/start your contributions to the VCU 403(b)/TDA retirement savings program and/or VRS 457/DCP  retirement savings program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Retirement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Apply for, or change the amount of VRS optional life insurance. New enrollments and coverage increases require medical approval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firstLine="0"/>
              <w:rPr>
                <w:rFonts w:ascii="Arial" w:cs="Arial" w:eastAsia="Arial" w:hAnsi="Arial"/>
                <w:color w:val="cc0000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cc0000"/>
                  <w:u w:val="single"/>
                  <w:rtl w:val="0"/>
                </w:rPr>
                <w:t xml:space="preserve">Optional Group Life Insurance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417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40" w:type="default"/>
      <w:headerReference r:id="rId41" w:type="first"/>
      <w:footerReference r:id="rId42" w:type="default"/>
      <w:footerReference r:id="rId43" w:type="first"/>
      <w:pgSz w:h="15840" w:w="12240" w:orient="portrait"/>
      <w:pgMar w:bottom="576" w:top="1440" w:left="1224" w:right="1224" w:header="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spacing w:after="0" w:line="276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sz w:val="18"/>
        <w:szCs w:val="18"/>
        <w:rtl w:val="0"/>
      </w:rPr>
      <w:t xml:space="preserve">Last Updated:</w:t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10/16/2024</w:t>
    </w:r>
  </w:p>
  <w:p w:rsidR="00000000" w:rsidDel="00000000" w:rsidP="00000000" w:rsidRDefault="00000000" w:rsidRPr="00000000" w14:paraId="000000A6">
    <w:pPr>
      <w:spacing w:after="0" w:line="276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spacing w:after="0" w:line="276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VCU Human Resources | Lindsey House | 600 West Franklin Street | Box 842511 | Richmond, Virginia 23284-2511</w:t>
    </w:r>
  </w:p>
  <w:p w:rsidR="00000000" w:rsidDel="00000000" w:rsidP="00000000" w:rsidRDefault="00000000" w:rsidRPr="00000000" w14:paraId="000000A8">
    <w:pPr>
      <w:spacing w:after="0" w:line="276" w:lineRule="auto"/>
      <w:jc w:val="center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(804) 828-0177 |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u w:val="single"/>
          <w:rtl w:val="0"/>
        </w:rPr>
        <w:t xml:space="preserve">askhr@vcu.edu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 www.hr.vcu.edu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spacing w:after="0" w:line="276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sz w:val="18"/>
        <w:szCs w:val="18"/>
        <w:rtl w:val="0"/>
      </w:rPr>
      <w:t xml:space="preserve">Last Updated:</w:t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10/18/2024</w:t>
    </w:r>
  </w:p>
  <w:p w:rsidR="00000000" w:rsidDel="00000000" w:rsidP="00000000" w:rsidRDefault="00000000" w:rsidRPr="00000000" w14:paraId="000000AB">
    <w:pPr>
      <w:spacing w:after="0" w:line="276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spacing w:after="0" w:line="276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VCU Human Resources | Lindsey House | 600 West Franklin Street | Box 842511 | Richmond, Virginia 23284-2511</w:t>
    </w:r>
  </w:p>
  <w:p w:rsidR="00000000" w:rsidDel="00000000" w:rsidP="00000000" w:rsidRDefault="00000000" w:rsidRPr="00000000" w14:paraId="000000AD">
    <w:pPr>
      <w:spacing w:after="0" w:line="276" w:lineRule="auto"/>
      <w:jc w:val="center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(804) 828-0177 |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u w:val="single"/>
          <w:rtl w:val="0"/>
        </w:rPr>
        <w:t xml:space="preserve">askhr@vcu.edu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 www.hr.vcu.edu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-9524</wp:posOffset>
          </wp:positionV>
          <wp:extent cx="7785847" cy="91916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166" l="0" r="0" t="0"/>
                  <a:stretch>
                    <a:fillRect/>
                  </a:stretch>
                </pic:blipFill>
                <pic:spPr>
                  <a:xfrm>
                    <a:off x="0" y="0"/>
                    <a:ext cx="7785847" cy="919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-9524</wp:posOffset>
          </wp:positionV>
          <wp:extent cx="7785847" cy="91916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166" l="0" r="0" t="0"/>
                  <a:stretch>
                    <a:fillRect/>
                  </a:stretch>
                </pic:blipFill>
                <pic:spPr>
                  <a:xfrm>
                    <a:off x="0" y="0"/>
                    <a:ext cx="7785847" cy="919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 w:val="1"/>
    <w:unhideWhenUsed w:val="1"/>
    <w:rsid w:val="00D94D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94D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4D21"/>
  </w:style>
  <w:style w:type="paragraph" w:styleId="Footer">
    <w:name w:val="footer"/>
    <w:basedOn w:val="Normal"/>
    <w:link w:val="FooterChar"/>
    <w:uiPriority w:val="99"/>
    <w:unhideWhenUsed w:val="1"/>
    <w:rsid w:val="00D94D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4D21"/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4413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hyperlink" Target="https://hr.vcu.edu/benefits/enroll-in-benefits/" TargetMode="External"/><Relationship Id="rId42" Type="http://schemas.openxmlformats.org/officeDocument/2006/relationships/footer" Target="footer2.xml"/><Relationship Id="rId41" Type="http://schemas.openxmlformats.org/officeDocument/2006/relationships/header" Target="header2.xml"/><Relationship Id="rId22" Type="http://schemas.openxmlformats.org/officeDocument/2006/relationships/hyperlink" Target="https://hr.vcu.edu/benefits/all-benefits/retirement/" TargetMode="External"/><Relationship Id="rId21" Type="http://schemas.openxmlformats.org/officeDocument/2006/relationships/hyperlink" Target="https://hr.vcu.edu/benefits/enroll-in-benefits/" TargetMode="External"/><Relationship Id="rId43" Type="http://schemas.openxmlformats.org/officeDocument/2006/relationships/footer" Target="footer1.xml"/><Relationship Id="rId24" Type="http://schemas.openxmlformats.org/officeDocument/2006/relationships/hyperlink" Target="https://quest.vcu.edu/" TargetMode="External"/><Relationship Id="rId23" Type="http://schemas.openxmlformats.org/officeDocument/2006/relationships/hyperlink" Target="https://hr.vcu.edu/benefits/all-benefits/life-insuranc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cucard.vcu.edu/services/vcucard/get" TargetMode="External"/><Relationship Id="rId26" Type="http://schemas.openxmlformats.org/officeDocument/2006/relationships/hyperlink" Target="https://docs.google.com/document/d/1c00uQB7dTWBRc6STWHVQzdXtoV_aFj7vWlazvL8iyog/edit#heading=h.pf0um5j2c7ur" TargetMode="External"/><Relationship Id="rId25" Type="http://schemas.openxmlformats.org/officeDocument/2006/relationships/hyperlink" Target="https://quest.vcu.edu/" TargetMode="External"/><Relationship Id="rId28" Type="http://schemas.openxmlformats.org/officeDocument/2006/relationships/hyperlink" Target="https://hr.vcu.edu/benefits/all-benefits/tuition-benefit/" TargetMode="External"/><Relationship Id="rId27" Type="http://schemas.openxmlformats.org/officeDocument/2006/relationships/hyperlink" Target="https://srm.vcu.edu/workplace-safety-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hr.vcu.edu/worklife-at-vcu/" TargetMode="External"/><Relationship Id="rId7" Type="http://schemas.openxmlformats.org/officeDocument/2006/relationships/hyperlink" Target="https://mobile.vcu.edu/" TargetMode="External"/><Relationship Id="rId8" Type="http://schemas.openxmlformats.org/officeDocument/2006/relationships/hyperlink" Target="https://www.uscis.gov/i-9-central/acceptable-documents" TargetMode="External"/><Relationship Id="rId31" Type="http://schemas.openxmlformats.org/officeDocument/2006/relationships/hyperlink" Target="https://hr.vcu.edu/benefits/all-benefits/retirement/optional-retirement-plan-orp/" TargetMode="External"/><Relationship Id="rId30" Type="http://schemas.openxmlformats.org/officeDocument/2006/relationships/hyperlink" Target="https://hr.vcu.edu/new-employees/employee-training-and-policy-review/" TargetMode="External"/><Relationship Id="rId11" Type="http://schemas.openxmlformats.org/officeDocument/2006/relationships/hyperlink" Target="https://eidfinder.vcu.edu/" TargetMode="External"/><Relationship Id="rId33" Type="http://schemas.openxmlformats.org/officeDocument/2006/relationships/hyperlink" Target="https://hr.vcu.edu/benefits/all-benefits/tax-deferred-annuity-and-roth-403b-program/" TargetMode="External"/><Relationship Id="rId10" Type="http://schemas.openxmlformats.org/officeDocument/2006/relationships/hyperlink" Target="https://parking.vcu.edu/parking/faculty-and-staff/" TargetMode="External"/><Relationship Id="rId32" Type="http://schemas.openxmlformats.org/officeDocument/2006/relationships/hyperlink" Target="https://hr.vcu.edu/benefits/all-benefits/tax-deferred-annuity-and-roth-403b-program/" TargetMode="External"/><Relationship Id="rId13" Type="http://schemas.openxmlformats.org/officeDocument/2006/relationships/hyperlink" Target="https://hr.vcu.edu/about/contact/hr-contacts-for-schools-and-units/" TargetMode="External"/><Relationship Id="rId35" Type="http://schemas.openxmlformats.org/officeDocument/2006/relationships/hyperlink" Target="https://vcu.csod.com/ui/lms-learning-details/app/course/49acba98-38a5-4894-bcbc-3d0e8d6d4bc4" TargetMode="External"/><Relationship Id="rId12" Type="http://schemas.openxmlformats.org/officeDocument/2006/relationships/hyperlink" Target="http://hr.vcu.edu/new-employees" TargetMode="External"/><Relationship Id="rId34" Type="http://schemas.openxmlformats.org/officeDocument/2006/relationships/hyperlink" Target="https://hr.vcu.edu/career-development/" TargetMode="External"/><Relationship Id="rId15" Type="http://schemas.openxmlformats.org/officeDocument/2006/relationships/hyperlink" Target="https://hr.vcu.edu/new-employees/employee-training-and-policy-review/" TargetMode="External"/><Relationship Id="rId37" Type="http://schemas.openxmlformats.org/officeDocument/2006/relationships/hyperlink" Target="http://www.varetirement.org/hybrid" TargetMode="External"/><Relationship Id="rId14" Type="http://schemas.openxmlformats.org/officeDocument/2006/relationships/hyperlink" Target="https://hr.vcu.edu/benefits/all-benefits/" TargetMode="External"/><Relationship Id="rId36" Type="http://schemas.openxmlformats.org/officeDocument/2006/relationships/hyperlink" Target="https://www.varetire.org/member-milestones/naming-a-beneficiary/" TargetMode="External"/><Relationship Id="rId17" Type="http://schemas.openxmlformats.org/officeDocument/2006/relationships/hyperlink" Target="http://alert.vcu.edu" TargetMode="External"/><Relationship Id="rId39" Type="http://schemas.openxmlformats.org/officeDocument/2006/relationships/hyperlink" Target="https://www.varetire.org/benefits-and-programs/benefits/life-insurance/optional-group-life-insurance/" TargetMode="External"/><Relationship Id="rId16" Type="http://schemas.openxmlformats.org/officeDocument/2006/relationships/hyperlink" Target="https://realtime.vcu.edu" TargetMode="External"/><Relationship Id="rId38" Type="http://schemas.openxmlformats.org/officeDocument/2006/relationships/hyperlink" Target="https://hr.vcu.edu/benefits/all-benefits/retirement/" TargetMode="External"/><Relationship Id="rId19" Type="http://schemas.openxmlformats.org/officeDocument/2006/relationships/hyperlink" Target="https://hr.vcu.edu/new-employees/orientations/#d.en.606888" TargetMode="External"/><Relationship Id="rId18" Type="http://schemas.openxmlformats.org/officeDocument/2006/relationships/hyperlink" Target="https://equity.vcu.ed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/r/v6jhOFzDagoSExOxUT+n/A==">CgMxLjAaJAoBMBIfCh0IB0IZCgVBcmlhbBIQQXJpYWwgVW5pY29kZSBNUzIIaC5namRneHMyCWguMzBqMHpsbDgAciExUGlPaDVtQlhrRFlLLUpxVlhtY052TDFLai1fTXJ4VVU=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2024-10-16T20:05:00Z</dcterms:created>
  <dc:creator>Allison Wetterhahn</dc:creator>
</cp:coreProperties>
</file>